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703CFB">
        <w:rPr>
          <w:rFonts w:ascii="Times New Roman" w:hAnsi="Times New Roman" w:cs="Times New Roman"/>
          <w:sz w:val="28"/>
          <w:szCs w:val="28"/>
        </w:rPr>
        <w:t>01.07.2013</w:t>
      </w:r>
      <w:r w:rsidR="00BB3761">
        <w:rPr>
          <w:rFonts w:ascii="Times New Roman" w:hAnsi="Times New Roman" w:cs="Times New Roman"/>
          <w:sz w:val="28"/>
          <w:szCs w:val="28"/>
        </w:rPr>
        <w:t xml:space="preserve">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r w:rsidRPr="00792133">
        <w:rPr>
          <w:rFonts w:ascii="Times New Roman" w:hAnsi="Times New Roman" w:cs="Times New Roman"/>
          <w:sz w:val="28"/>
          <w:szCs w:val="28"/>
          <w:u w:val="single"/>
        </w:rPr>
        <w:t>Воронежская обл., г. Бобров                      ул.</w:t>
      </w:r>
      <w:r w:rsidR="00DB1E10">
        <w:rPr>
          <w:rFonts w:ascii="Times New Roman" w:hAnsi="Times New Roman" w:cs="Times New Roman"/>
          <w:sz w:val="28"/>
          <w:szCs w:val="28"/>
          <w:u w:val="single"/>
        </w:rPr>
        <w:t>к.Маркса, д. 4</w:t>
      </w:r>
      <w:r w:rsidRPr="00792133">
        <w:rPr>
          <w:rFonts w:ascii="Times New Roman" w:hAnsi="Times New Roman" w:cs="Times New Roman"/>
          <w:sz w:val="28"/>
          <w:szCs w:val="28"/>
          <w:u w:val="single"/>
        </w:rPr>
        <w:t>8</w:t>
      </w:r>
      <w:r>
        <w:rPr>
          <w:rFonts w:ascii="Times New Roman" w:hAnsi="Times New Roman" w:cs="Times New Roman"/>
          <w:sz w:val="28"/>
          <w:szCs w:val="28"/>
          <w:u w:val="single"/>
        </w:rPr>
        <w:t>.</w:t>
      </w:r>
    </w:p>
    <w:p w:rsidR="00A60CDB" w:rsidRPr="00703CFB"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703CFB" w:rsidRPr="00703CFB">
        <w:rPr>
          <w:rFonts w:ascii="Times New Roman" w:hAnsi="Times New Roman" w:cs="Times New Roman"/>
          <w:sz w:val="28"/>
          <w:szCs w:val="28"/>
          <w:u w:val="single"/>
        </w:rPr>
        <w:t xml:space="preserve">утепление и </w:t>
      </w:r>
      <w:r w:rsidRPr="00703CFB">
        <w:rPr>
          <w:rFonts w:ascii="Times New Roman" w:hAnsi="Times New Roman" w:cs="Times New Roman"/>
          <w:sz w:val="28"/>
          <w:szCs w:val="28"/>
          <w:u w:val="single"/>
        </w:rPr>
        <w:t xml:space="preserve">ремонт </w:t>
      </w:r>
      <w:r w:rsidR="00703CFB" w:rsidRPr="00703CFB">
        <w:rPr>
          <w:rFonts w:ascii="Times New Roman" w:hAnsi="Times New Roman" w:cs="Times New Roman"/>
          <w:sz w:val="28"/>
          <w:szCs w:val="28"/>
          <w:u w:val="single"/>
        </w:rPr>
        <w:t>фасада</w:t>
      </w:r>
      <w:r w:rsidR="00703CFB">
        <w:rPr>
          <w:rFonts w:ascii="Times New Roman" w:hAnsi="Times New Roman" w:cs="Times New Roman"/>
          <w:sz w:val="28"/>
          <w:szCs w:val="28"/>
          <w:u w:val="single"/>
        </w:rPr>
        <w:t xml:space="preserve"> здания</w:t>
      </w:r>
      <w:r w:rsidRPr="00703CFB">
        <w:rPr>
          <w:rFonts w:ascii="Times New Roman" w:hAnsi="Times New Roman" w:cs="Times New Roman"/>
          <w:sz w:val="28"/>
          <w:szCs w:val="28"/>
          <w:u w:val="single"/>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DB1E10">
        <w:rPr>
          <w:rFonts w:ascii="Times New Roman" w:hAnsi="Times New Roman" w:cs="Times New Roman"/>
          <w:sz w:val="28"/>
          <w:szCs w:val="28"/>
          <w:u w:val="single"/>
        </w:rPr>
        <w:t>Луна</w:t>
      </w:r>
      <w:r w:rsidRPr="00792133">
        <w:rPr>
          <w:rFonts w:ascii="Times New Roman" w:hAnsi="Times New Roman" w:cs="Times New Roman"/>
          <w:sz w:val="28"/>
          <w:szCs w:val="28"/>
          <w:u w:val="single"/>
        </w:rPr>
        <w:t xml:space="preserve">», ИНН </w:t>
      </w:r>
      <w:r w:rsidR="00DB1E10" w:rsidRPr="00DB1E10">
        <w:rPr>
          <w:rFonts w:ascii="Times New Roman" w:hAnsi="Times New Roman" w:cs="Times New Roman"/>
          <w:sz w:val="28"/>
          <w:szCs w:val="28"/>
          <w:u w:val="single"/>
        </w:rPr>
        <w:t>3602011421</w:t>
      </w:r>
      <w:r w:rsidRPr="00792133">
        <w:rPr>
          <w:rFonts w:ascii="Times New Roman" w:hAnsi="Times New Roman" w:cs="Times New Roman"/>
          <w:sz w:val="28"/>
          <w:szCs w:val="28"/>
          <w:u w:val="single"/>
        </w:rPr>
        <w:t xml:space="preserve">, </w:t>
      </w:r>
      <w:r w:rsidR="00DB1E10" w:rsidRPr="00DB1E10">
        <w:rPr>
          <w:rFonts w:ascii="Times New Roman" w:hAnsi="Times New Roman" w:cs="Times New Roman"/>
          <w:sz w:val="28"/>
          <w:szCs w:val="28"/>
          <w:u w:val="single"/>
        </w:rPr>
        <w:t>89601139149</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350796">
        <w:rPr>
          <w:rFonts w:ascii="Times New Roman" w:hAnsi="Times New Roman" w:cs="Times New Roman"/>
          <w:sz w:val="28"/>
          <w:szCs w:val="28"/>
          <w:u w:val="single"/>
        </w:rPr>
        <w:t>Городилова О.П.</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ru</w:t>
        </w:r>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703CFB">
        <w:rPr>
          <w:rFonts w:ascii="Times New Roman" w:hAnsi="Times New Roman" w:cs="Times New Roman"/>
          <w:sz w:val="28"/>
          <w:szCs w:val="28"/>
          <w:u w:val="single"/>
        </w:rPr>
        <w:t>550 000</w:t>
      </w:r>
      <w:r w:rsidRPr="00792133">
        <w:rPr>
          <w:rFonts w:ascii="Times New Roman" w:hAnsi="Times New Roman" w:cs="Times New Roman"/>
          <w:sz w:val="28"/>
          <w:szCs w:val="28"/>
          <w:u w:val="single"/>
        </w:rPr>
        <w:t xml:space="preserve"> (</w:t>
      </w:r>
      <w:r w:rsidR="00703CFB">
        <w:rPr>
          <w:rFonts w:ascii="Times New Roman" w:hAnsi="Times New Roman" w:cs="Times New Roman"/>
          <w:sz w:val="28"/>
          <w:szCs w:val="28"/>
          <w:u w:val="single"/>
        </w:rPr>
        <w:t>Пятьсот пятьдесят тысяч)</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 xml:space="preserve">в течении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BB3761"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BB3761">
        <w:rPr>
          <w:rFonts w:ascii="Times New Roman" w:hAnsi="Times New Roman" w:cs="Times New Roman"/>
          <w:sz w:val="28"/>
          <w:szCs w:val="28"/>
          <w:u w:val="single"/>
        </w:rPr>
        <w:t xml:space="preserve">Воронежская обл., г. Бобров, ул. Кирова, 67, </w:t>
      </w:r>
      <w:proofErr w:type="spellStart"/>
      <w:r w:rsidRPr="00BB3761">
        <w:rPr>
          <w:rFonts w:ascii="Times New Roman" w:hAnsi="Times New Roman" w:cs="Times New Roman"/>
          <w:sz w:val="28"/>
          <w:szCs w:val="28"/>
          <w:u w:val="single"/>
        </w:rPr>
        <w:t>каб</w:t>
      </w:r>
      <w:proofErr w:type="spellEnd"/>
      <w:r w:rsidRPr="00BB3761">
        <w:rPr>
          <w:rFonts w:ascii="Times New Roman" w:hAnsi="Times New Roman" w:cs="Times New Roman"/>
          <w:sz w:val="28"/>
          <w:szCs w:val="28"/>
          <w:u w:val="single"/>
        </w:rPr>
        <w:t>. 24</w:t>
      </w:r>
      <w:r w:rsidR="00703CFB">
        <w:rPr>
          <w:rFonts w:ascii="Times New Roman" w:hAnsi="Times New Roman" w:cs="Times New Roman"/>
          <w:sz w:val="28"/>
          <w:szCs w:val="28"/>
          <w:u w:val="single"/>
        </w:rPr>
        <w:t>; 15.07.2013</w:t>
      </w:r>
      <w:r w:rsidR="00BB3761" w:rsidRPr="00BB3761">
        <w:rPr>
          <w:rFonts w:ascii="Times New Roman" w:hAnsi="Times New Roman" w:cs="Times New Roman"/>
          <w:sz w:val="28"/>
          <w:szCs w:val="28"/>
          <w:u w:val="single"/>
        </w:rPr>
        <w:t xml:space="preserve"> г. в 12:00</w:t>
      </w:r>
      <w:r w:rsidRPr="00BB3761">
        <w:rPr>
          <w:rFonts w:ascii="Times New Roman" w:hAnsi="Times New Roman" w:cs="Times New Roman"/>
          <w:sz w:val="28"/>
          <w:szCs w:val="28"/>
          <w:u w:val="single"/>
        </w:rPr>
        <w:t xml:space="preserve"> </w:t>
      </w:r>
      <w:r w:rsidR="00BB3761" w:rsidRPr="00BB3761">
        <w:rPr>
          <w:rFonts w:ascii="Times New Roman" w:hAnsi="Times New Roman" w:cs="Times New Roman"/>
          <w:sz w:val="28"/>
          <w:szCs w:val="28"/>
          <w:u w:val="single"/>
        </w:rPr>
        <w:t>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.bobrovcity.ru</w:t>
      </w:r>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proofErr w:type="gramStart"/>
      <w:r w:rsidRPr="00944635">
        <w:rPr>
          <w:rFonts w:ascii="Times New Roman" w:hAnsi="Times New Roman" w:cs="Times New Roman"/>
          <w:sz w:val="24"/>
          <w:szCs w:val="24"/>
        </w:rPr>
        <w:t>подряда</w:t>
      </w:r>
      <w:proofErr w:type="gramEnd"/>
      <w:r w:rsidRPr="00944635">
        <w:rPr>
          <w:rFonts w:ascii="Times New Roman" w:hAnsi="Times New Roman" w:cs="Times New Roman"/>
          <w:sz w:val="24"/>
          <w:szCs w:val="24"/>
        </w:rPr>
        <w:t xml:space="preserve">   на   выполнение   работ </w:t>
      </w:r>
      <w:r w:rsidR="00703CFB">
        <w:rPr>
          <w:rFonts w:ascii="Times New Roman" w:hAnsi="Times New Roman" w:cs="Times New Roman"/>
          <w:sz w:val="24"/>
          <w:szCs w:val="24"/>
        </w:rPr>
        <w:t>(утепление и ремонт фасада здания</w:t>
      </w:r>
      <w:r w:rsidRPr="00DB1E10">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г. Бобров, ул. </w:t>
      </w:r>
      <w:r w:rsidR="00DB1E10">
        <w:rPr>
          <w:rFonts w:ascii="Times New Roman" w:hAnsi="Times New Roman" w:cs="Times New Roman"/>
          <w:sz w:val="24"/>
          <w:szCs w:val="24"/>
        </w:rPr>
        <w:t>К.Маркса, д. 48</w:t>
      </w:r>
      <w:r w:rsidRPr="00944635">
        <w:rPr>
          <w:rFonts w:ascii="Times New Roman" w:hAnsi="Times New Roman" w:cs="Times New Roman"/>
          <w:sz w:val="24"/>
          <w:szCs w:val="24"/>
        </w:rPr>
        <w:t>.</w:t>
      </w:r>
    </w:p>
    <w:p w:rsidR="00A60CDB" w:rsidRPr="00944635" w:rsidRDefault="00A60CDB" w:rsidP="00DB1E10">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DB1E10" w:rsidRPr="00DB1E10">
        <w:rPr>
          <w:rFonts w:ascii="Times New Roman" w:hAnsi="Times New Roman" w:cs="Times New Roman"/>
          <w:sz w:val="24"/>
          <w:szCs w:val="24"/>
          <w:u w:val="single"/>
        </w:rPr>
        <w:t xml:space="preserve">ТСЖ «Луна», ИНН 3602011421, 89601139149, Воронежская обл., г. Бобров, ул. Кирова, 67. </w:t>
      </w:r>
      <w:r w:rsidR="00DB1E10" w:rsidRPr="00DB1E10">
        <w:rPr>
          <w:rFonts w:ascii="Times New Roman" w:hAnsi="Times New Roman" w:cs="Times New Roman"/>
          <w:sz w:val="24"/>
          <w:szCs w:val="24"/>
          <w:u w:val="single"/>
          <w:lang w:val="en-US"/>
        </w:rPr>
        <w:t>E</w:t>
      </w:r>
      <w:r w:rsidR="00DB1E10" w:rsidRPr="00DB1E10">
        <w:rPr>
          <w:rFonts w:ascii="Times New Roman" w:hAnsi="Times New Roman" w:cs="Times New Roman"/>
          <w:sz w:val="24"/>
          <w:szCs w:val="24"/>
          <w:u w:val="single"/>
        </w:rPr>
        <w:t>-</w:t>
      </w:r>
      <w:r w:rsidR="00DB1E10" w:rsidRPr="00DB1E10">
        <w:rPr>
          <w:rFonts w:ascii="Times New Roman" w:hAnsi="Times New Roman" w:cs="Times New Roman"/>
          <w:sz w:val="24"/>
          <w:szCs w:val="24"/>
          <w:u w:val="single"/>
          <w:lang w:val="en-US"/>
        </w:rPr>
        <w:t>mail</w:t>
      </w:r>
      <w:r w:rsidR="00DB1E10" w:rsidRPr="00DB1E10">
        <w:rPr>
          <w:rFonts w:ascii="Times New Roman" w:hAnsi="Times New Roman" w:cs="Times New Roman"/>
          <w:sz w:val="24"/>
          <w:szCs w:val="24"/>
          <w:u w:val="single"/>
        </w:rPr>
        <w:t xml:space="preserve">: </w:t>
      </w:r>
      <w:hyperlink r:id="rId6" w:history="1">
        <w:r w:rsidR="00DB1E10" w:rsidRPr="00DB1E10">
          <w:rPr>
            <w:rStyle w:val="a3"/>
            <w:rFonts w:ascii="Times New Roman" w:hAnsi="Times New Roman" w:cs="Times New Roman"/>
            <w:color w:val="auto"/>
            <w:sz w:val="24"/>
            <w:szCs w:val="24"/>
          </w:rPr>
          <w:t>bobrov.adm@mail.ru</w:t>
        </w:r>
      </w:hyperlink>
      <w:r w:rsidR="00DB1E10" w:rsidRPr="00DB1E10">
        <w:rPr>
          <w:rFonts w:ascii="Times New Roman" w:hAnsi="Times New Roman" w:cs="Times New Roman"/>
          <w:sz w:val="24"/>
          <w:szCs w:val="24"/>
          <w:u w:val="single"/>
        </w:rPr>
        <w:t xml:space="preserve">, </w:t>
      </w:r>
      <w:r w:rsidR="00350796">
        <w:rPr>
          <w:rFonts w:ascii="Times New Roman" w:hAnsi="Times New Roman" w:cs="Times New Roman"/>
          <w:sz w:val="24"/>
          <w:szCs w:val="24"/>
          <w:u w:val="single"/>
        </w:rPr>
        <w:t>Городилова О.П.</w:t>
      </w:r>
      <w:bookmarkStart w:id="0" w:name="_GoBack"/>
      <w:bookmarkEnd w:id="0"/>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ru</w:t>
        </w:r>
      </w:hyperlink>
      <w:r w:rsidRPr="00944635">
        <w:rPr>
          <w:rFonts w:ascii="Times New Roman" w:hAnsi="Times New Roman" w:cs="Times New Roman"/>
          <w:sz w:val="24"/>
          <w:szCs w:val="24"/>
          <w:u w:val="single"/>
        </w:rPr>
        <w:t>, Гончарова А.В.</w:t>
      </w:r>
    </w:p>
    <w:p w:rsidR="00A60CDB" w:rsidRPr="00944635" w:rsidRDefault="00703CFB" w:rsidP="00A60CD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1.4.    Начальная (</w:t>
      </w:r>
      <w:proofErr w:type="gramStart"/>
      <w:r>
        <w:rPr>
          <w:rFonts w:ascii="Times New Roman" w:hAnsi="Times New Roman" w:cs="Times New Roman"/>
          <w:sz w:val="24"/>
          <w:szCs w:val="24"/>
        </w:rPr>
        <w:t>максимальная)  цена</w:t>
      </w:r>
      <w:proofErr w:type="gramEnd"/>
      <w:r w:rsidR="00A60CDB" w:rsidRPr="00944635">
        <w:rPr>
          <w:rFonts w:ascii="Times New Roman" w:hAnsi="Times New Roman" w:cs="Times New Roman"/>
          <w:sz w:val="24"/>
          <w:szCs w:val="24"/>
        </w:rPr>
        <w:t xml:space="preserve">  договора подряда: </w:t>
      </w:r>
      <w:r>
        <w:rPr>
          <w:rFonts w:ascii="Times New Roman" w:hAnsi="Times New Roman" w:cs="Times New Roman"/>
          <w:sz w:val="24"/>
          <w:szCs w:val="24"/>
        </w:rPr>
        <w:t>550</w:t>
      </w:r>
      <w:r w:rsidR="00A60CDB" w:rsidRPr="00944635">
        <w:rPr>
          <w:rFonts w:ascii="Times New Roman" w:hAnsi="Times New Roman" w:cs="Times New Roman"/>
          <w:sz w:val="24"/>
          <w:szCs w:val="24"/>
          <w:u w:val="single"/>
        </w:rPr>
        <w:t> 000 (</w:t>
      </w:r>
      <w:r>
        <w:rPr>
          <w:rFonts w:ascii="Times New Roman" w:hAnsi="Times New Roman" w:cs="Times New Roman"/>
          <w:sz w:val="24"/>
          <w:szCs w:val="24"/>
          <w:u w:val="single"/>
        </w:rPr>
        <w:t>Пятьсот пятьдесят тысяч</w:t>
      </w:r>
      <w:r w:rsidR="00A60CDB" w:rsidRPr="0094463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A60CDB"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w:t>
      </w:r>
      <w:proofErr w:type="gramStart"/>
      <w:r w:rsidRPr="00944635">
        <w:rPr>
          <w:rFonts w:ascii="Times New Roman" w:hAnsi="Times New Roman" w:cs="Times New Roman"/>
          <w:sz w:val="24"/>
          <w:szCs w:val="24"/>
        </w:rPr>
        <w:t>с  конкурсными</w:t>
      </w:r>
      <w:proofErr w:type="gramEnd"/>
      <w:r w:rsidRPr="00944635">
        <w:rPr>
          <w:rFonts w:ascii="Times New Roman" w:hAnsi="Times New Roman" w:cs="Times New Roman"/>
          <w:sz w:val="24"/>
          <w:szCs w:val="24"/>
        </w:rPr>
        <w:t xml:space="preserve">  заявками  будет  произведено  в</w:t>
      </w:r>
    </w:p>
    <w:p w:rsidR="00A60CDB" w:rsidRPr="00944635" w:rsidRDefault="00BB3761" w:rsidP="00A60CDB">
      <w:pPr>
        <w:pStyle w:val="ConsPlusNonformat"/>
        <w:widowControl/>
        <w:ind w:firstLine="709"/>
        <w:jc w:val="both"/>
        <w:rPr>
          <w:rFonts w:ascii="Times New Roman" w:hAnsi="Times New Roman" w:cs="Times New Roman"/>
          <w:sz w:val="24"/>
          <w:szCs w:val="24"/>
        </w:rPr>
      </w:pPr>
      <w:r w:rsidRPr="00BB3761">
        <w:rPr>
          <w:rFonts w:ascii="Times New Roman" w:hAnsi="Times New Roman" w:cs="Times New Roman"/>
          <w:sz w:val="24"/>
          <w:szCs w:val="24"/>
        </w:rPr>
        <w:t>12</w:t>
      </w:r>
      <w:r w:rsidR="00A60CDB" w:rsidRPr="00BB3761">
        <w:rPr>
          <w:rFonts w:ascii="Times New Roman" w:hAnsi="Times New Roman" w:cs="Times New Roman"/>
          <w:sz w:val="24"/>
          <w:szCs w:val="24"/>
        </w:rPr>
        <w:t xml:space="preserve"> часов </w:t>
      </w:r>
      <w:r w:rsidRPr="00BB3761">
        <w:rPr>
          <w:rFonts w:ascii="Times New Roman" w:hAnsi="Times New Roman" w:cs="Times New Roman"/>
          <w:sz w:val="24"/>
          <w:szCs w:val="24"/>
        </w:rPr>
        <w:t>00</w:t>
      </w:r>
      <w:r w:rsidR="00A60CDB" w:rsidRPr="00BB3761">
        <w:rPr>
          <w:rFonts w:ascii="Times New Roman" w:hAnsi="Times New Roman" w:cs="Times New Roman"/>
          <w:sz w:val="24"/>
          <w:szCs w:val="24"/>
        </w:rPr>
        <w:t xml:space="preserve"> минут "</w:t>
      </w:r>
      <w:r w:rsidR="00703CFB">
        <w:rPr>
          <w:rFonts w:ascii="Times New Roman" w:hAnsi="Times New Roman" w:cs="Times New Roman"/>
          <w:sz w:val="24"/>
          <w:szCs w:val="24"/>
        </w:rPr>
        <w:t>15</w:t>
      </w:r>
      <w:r w:rsidR="00A60CDB" w:rsidRPr="00BB3761">
        <w:rPr>
          <w:rFonts w:ascii="Times New Roman" w:hAnsi="Times New Roman" w:cs="Times New Roman"/>
          <w:sz w:val="24"/>
          <w:szCs w:val="24"/>
        </w:rPr>
        <w:t xml:space="preserve">" </w:t>
      </w:r>
      <w:r w:rsidR="00703CFB">
        <w:rPr>
          <w:rFonts w:ascii="Times New Roman" w:hAnsi="Times New Roman" w:cs="Times New Roman"/>
          <w:sz w:val="24"/>
          <w:szCs w:val="24"/>
        </w:rPr>
        <w:t>июля</w:t>
      </w:r>
      <w:r w:rsidR="00A60CDB" w:rsidRPr="00BB3761">
        <w:rPr>
          <w:rFonts w:ascii="Times New Roman" w:hAnsi="Times New Roman" w:cs="Times New Roman"/>
          <w:sz w:val="24"/>
          <w:szCs w:val="24"/>
        </w:rPr>
        <w:t xml:space="preserve"> 20</w:t>
      </w:r>
      <w:r w:rsidRPr="00BB3761">
        <w:rPr>
          <w:rFonts w:ascii="Times New Roman" w:hAnsi="Times New Roman" w:cs="Times New Roman"/>
          <w:sz w:val="24"/>
          <w:szCs w:val="24"/>
        </w:rPr>
        <w:t>1</w:t>
      </w:r>
      <w:r w:rsidR="00703CFB">
        <w:rPr>
          <w:rFonts w:ascii="Times New Roman" w:hAnsi="Times New Roman" w:cs="Times New Roman"/>
          <w:sz w:val="24"/>
          <w:szCs w:val="24"/>
        </w:rPr>
        <w:t>3</w:t>
      </w:r>
      <w:r w:rsidR="00A60CDB" w:rsidRPr="00BB3761">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w:t>
      </w:r>
      <w:proofErr w:type="gramStart"/>
      <w:r w:rsidRPr="00944635">
        <w:rPr>
          <w:rFonts w:ascii="Times New Roman" w:hAnsi="Times New Roman" w:cs="Times New Roman"/>
          <w:sz w:val="24"/>
          <w:szCs w:val="24"/>
        </w:rPr>
        <w:t>извещение  о</w:t>
      </w:r>
      <w:proofErr w:type="gramEnd"/>
      <w:r w:rsidRPr="00944635">
        <w:rPr>
          <w:rFonts w:ascii="Times New Roman" w:hAnsi="Times New Roman" w:cs="Times New Roman"/>
          <w:sz w:val="24"/>
          <w:szCs w:val="24"/>
        </w:rPr>
        <w:t xml:space="preserve">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boborovcity</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ru</w:t>
        </w:r>
      </w:hyperlink>
      <w:r w:rsidRPr="00944635">
        <w:rPr>
          <w:rFonts w:ascii="Times New Roman" w:hAnsi="Times New Roman" w:cs="Times New Roman"/>
          <w:sz w:val="24"/>
          <w:szCs w:val="24"/>
        </w:rPr>
        <w:t xml:space="preserve"> не позднее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w:t>
      </w:r>
      <w:proofErr w:type="gramStart"/>
      <w:r w:rsidRPr="00944635">
        <w:rPr>
          <w:rFonts w:ascii="Times New Roman" w:hAnsi="Times New Roman" w:cs="Times New Roman"/>
          <w:sz w:val="24"/>
          <w:szCs w:val="24"/>
        </w:rPr>
        <w:t>конкурса  публикуются</w:t>
      </w:r>
      <w:proofErr w:type="gramEnd"/>
      <w:r w:rsidRPr="00944635">
        <w:rPr>
          <w:rFonts w:ascii="Times New Roman" w:hAnsi="Times New Roman" w:cs="Times New Roman"/>
          <w:sz w:val="24"/>
          <w:szCs w:val="24"/>
        </w:rPr>
        <w:t xml:space="preserve">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boborovcity</w:t>
        </w:r>
        <w:r w:rsidRPr="00944635">
          <w:rPr>
            <w:rStyle w:val="a3"/>
            <w:rFonts w:ascii="Times New Roman" w:hAnsi="Times New Roman" w:cs="Times New Roman"/>
            <w:sz w:val="24"/>
            <w:szCs w:val="24"/>
          </w:rPr>
          <w:t>.</w:t>
        </w:r>
        <w:r w:rsidRPr="00944635">
          <w:rPr>
            <w:rStyle w:val="a3"/>
            <w:rFonts w:ascii="Times New Roman" w:hAnsi="Times New Roman" w:cs="Times New Roman"/>
            <w:sz w:val="24"/>
            <w:szCs w:val="24"/>
            <w:lang w:val="en-US"/>
          </w:rPr>
          <w:t>ru</w:t>
        </w:r>
      </w:hyperlink>
      <w:r w:rsidRPr="00944635">
        <w:rPr>
          <w:rFonts w:ascii="Times New Roman" w:hAnsi="Times New Roman" w:cs="Times New Roman"/>
          <w:sz w:val="24"/>
          <w:szCs w:val="24"/>
        </w:rPr>
        <w:t xml:space="preserve"> в десятидневный срок с даты вскрытия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w:t>
      </w:r>
      <w:proofErr w:type="gramStart"/>
      <w:r w:rsidRPr="00944635">
        <w:rPr>
          <w:rFonts w:ascii="Times New Roman" w:hAnsi="Times New Roman" w:cs="Times New Roman"/>
          <w:sz w:val="24"/>
          <w:szCs w:val="24"/>
        </w:rPr>
        <w:t>подряда  с</w:t>
      </w:r>
      <w:proofErr w:type="gramEnd"/>
      <w:r w:rsidRPr="00944635">
        <w:rPr>
          <w:rFonts w:ascii="Times New Roman" w:hAnsi="Times New Roman" w:cs="Times New Roman"/>
          <w:sz w:val="24"/>
          <w:szCs w:val="24"/>
        </w:rPr>
        <w:t xml:space="preserve">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w:t>
      </w:r>
      <w:r w:rsidR="00703CFB">
        <w:rPr>
          <w:rFonts w:ascii="Times New Roman" w:hAnsi="Times New Roman" w:cs="Times New Roman"/>
          <w:sz w:val="24"/>
          <w:szCs w:val="24"/>
        </w:rPr>
        <w:t xml:space="preserve">Субботин </w:t>
      </w:r>
      <w:proofErr w:type="gramStart"/>
      <w:r w:rsidR="00703CFB">
        <w:rPr>
          <w:rFonts w:ascii="Times New Roman" w:hAnsi="Times New Roman" w:cs="Times New Roman"/>
          <w:sz w:val="24"/>
          <w:szCs w:val="24"/>
        </w:rPr>
        <w:t>В.В.</w:t>
      </w:r>
      <w:r w:rsidRPr="00944635">
        <w:rPr>
          <w:rFonts w:ascii="Times New Roman" w:hAnsi="Times New Roman" w:cs="Times New Roman"/>
          <w:sz w:val="24"/>
          <w:szCs w:val="24"/>
        </w:rPr>
        <w:t>.</w:t>
      </w:r>
      <w:proofErr w:type="gramEnd"/>
      <w:r w:rsidRPr="00944635">
        <w:rPr>
          <w:rFonts w:ascii="Times New Roman" w:hAnsi="Times New Roman" w:cs="Times New Roman"/>
          <w:sz w:val="24"/>
          <w:szCs w:val="24"/>
        </w:rPr>
        <w:t>, 8(47350)4-1</w:t>
      </w:r>
      <w:r w:rsidR="00703CFB">
        <w:rPr>
          <w:rFonts w:ascii="Times New Roman" w:hAnsi="Times New Roman" w:cs="Times New Roman"/>
          <w:sz w:val="24"/>
          <w:szCs w:val="24"/>
        </w:rPr>
        <w:t>5</w:t>
      </w:r>
      <w:r w:rsidRPr="00944635">
        <w:rPr>
          <w:rFonts w:ascii="Times New Roman" w:hAnsi="Times New Roman" w:cs="Times New Roman"/>
          <w:sz w:val="24"/>
          <w:szCs w:val="24"/>
        </w:rPr>
        <w:t>-3</w:t>
      </w:r>
      <w:r w:rsidR="00703CFB">
        <w:rPr>
          <w:rFonts w:ascii="Times New Roman" w:hAnsi="Times New Roman" w:cs="Times New Roman"/>
          <w:sz w:val="24"/>
          <w:szCs w:val="24"/>
        </w:rPr>
        <w:t>2</w:t>
      </w:r>
      <w:r w:rsidRPr="00944635">
        <w:rPr>
          <w:rFonts w:ascii="Times New Roman" w:hAnsi="Times New Roman" w:cs="Times New Roman"/>
          <w:sz w:val="24"/>
          <w:szCs w:val="24"/>
        </w:rPr>
        <w:t xml:space="preserve">, 8(47350)4-23-49, </w:t>
      </w:r>
      <w:r w:rsidRPr="00944635">
        <w:rPr>
          <w:rFonts w:ascii="Times New Roman" w:hAnsi="Times New Roman" w:cs="Times New Roman"/>
          <w:sz w:val="24"/>
          <w:szCs w:val="24"/>
          <w:lang w:val="en-US"/>
        </w:rPr>
        <w:t>boborov</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adm</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r w:rsidRPr="00944635">
        <w:rPr>
          <w:rFonts w:ascii="Times New Roman" w:hAnsi="Times New Roman" w:cs="Times New Roman"/>
          <w:sz w:val="24"/>
          <w:szCs w:val="24"/>
          <w:lang w:val="en-US"/>
        </w:rPr>
        <w:t>ru</w:t>
      </w:r>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в</w:t>
      </w:r>
      <w:proofErr w:type="gramEnd"/>
      <w:r w:rsidRPr="00A60CDB">
        <w:rPr>
          <w:rFonts w:ascii="Times New Roman" w:hAnsi="Times New Roman" w:cs="Times New Roman"/>
          <w:sz w:val="24"/>
          <w:szCs w:val="24"/>
        </w:rPr>
        <w:t>) соблюдение техники безопасности (количество несчастных случаев при производстве работ за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firstRow="0" w:lastRow="0" w:firstColumn="0" w:lastColumn="0" w:noHBand="0" w:noVBand="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за   </w:t>
            </w:r>
            <w:r w:rsidRPr="00A60CDB">
              <w:rPr>
                <w:rFonts w:ascii="Times New Roman" w:hAnsi="Times New Roman" w:cs="Times New Roman"/>
                <w:sz w:val="24"/>
                <w:szCs w:val="24"/>
              </w:rPr>
              <w:br/>
              <w:t xml:space="preserve">последние 2 </w:t>
            </w:r>
            <w:proofErr w:type="gramStart"/>
            <w:r w:rsidRPr="00A60CDB">
              <w:rPr>
                <w:rFonts w:ascii="Times New Roman" w:hAnsi="Times New Roman" w:cs="Times New Roman"/>
                <w:sz w:val="24"/>
                <w:szCs w:val="24"/>
              </w:rPr>
              <w:t xml:space="preserve">года)   </w:t>
            </w:r>
            <w:proofErr w:type="gramEnd"/>
            <w:r w:rsidRPr="00A60CDB">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подряда за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на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w:t>
      </w:r>
      <w:proofErr w:type="gramEnd"/>
      <w:r w:rsidRPr="00E046C5">
        <w:rPr>
          <w:rFonts w:ascii="Times New Roman" w:hAnsi="Times New Roman" w:cs="Times New Roman"/>
          <w:sz w:val="24"/>
          <w:szCs w:val="24"/>
        </w:rPr>
        <w:t xml:space="preserve"> (не является), основание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освобождения</w:t>
      </w:r>
      <w:proofErr w:type="gramEnd"/>
      <w:r w:rsidRPr="00E046C5">
        <w:rPr>
          <w:rFonts w:ascii="Times New Roman" w:hAnsi="Times New Roman" w:cs="Times New Roman"/>
          <w:sz w:val="24"/>
          <w:szCs w:val="24"/>
        </w:rPr>
        <w:t xml:space="preserve"> от уплаты НДС в случае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выданное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саморегулируемой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roofErr w:type="gramStart"/>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дни</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с даты начала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t>п/п</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Соблюдение    техники     </w:t>
            </w:r>
            <w:proofErr w:type="gramStart"/>
            <w:r w:rsidRPr="00E046C5">
              <w:rPr>
                <w:rFonts w:ascii="Times New Roman" w:hAnsi="Times New Roman" w:cs="Times New Roman"/>
                <w:sz w:val="24"/>
                <w:szCs w:val="24"/>
              </w:rPr>
              <w:t>безопасности</w:t>
            </w:r>
            <w:r w:rsidRPr="00E046C5">
              <w:rPr>
                <w:rFonts w:ascii="Times New Roman" w:hAnsi="Times New Roman" w:cs="Times New Roman"/>
                <w:sz w:val="24"/>
                <w:szCs w:val="24"/>
              </w:rPr>
              <w:br/>
              <w:t>(</w:t>
            </w:r>
            <w:proofErr w:type="gramEnd"/>
            <w:r w:rsidRPr="00E046C5">
              <w:rPr>
                <w:rFonts w:ascii="Times New Roman" w:hAnsi="Times New Roman" w:cs="Times New Roman"/>
                <w:sz w:val="24"/>
                <w:szCs w:val="24"/>
              </w:rPr>
              <w:t>кол-во   несчастных    случаев    при</w:t>
            </w:r>
            <w:r w:rsidRPr="00E046C5">
              <w:rPr>
                <w:rFonts w:ascii="Times New Roman" w:hAnsi="Times New Roman" w:cs="Times New Roman"/>
                <w:sz w:val="24"/>
                <w:szCs w:val="24"/>
              </w:rPr>
              <w:br/>
              <w:t>производстве  работ  за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roofErr w:type="gramStart"/>
            <w:r w:rsidRPr="00E046C5">
              <w:rPr>
                <w:rFonts w:ascii="Times New Roman" w:hAnsi="Times New Roman" w:cs="Times New Roman"/>
                <w:sz w:val="24"/>
                <w:szCs w:val="24"/>
              </w:rPr>
              <w:t>Участие  в</w:t>
            </w:r>
            <w:proofErr w:type="gramEnd"/>
            <w:r w:rsidRPr="00E046C5">
              <w:rPr>
                <w:rFonts w:ascii="Times New Roman" w:hAnsi="Times New Roman" w:cs="Times New Roman"/>
                <w:sz w:val="24"/>
                <w:szCs w:val="24"/>
              </w:rPr>
              <w:t xml:space="preserve">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proofErr w:type="gramStart"/>
      <w:r w:rsidRPr="00E046C5">
        <w:rPr>
          <w:rFonts w:ascii="Times New Roman" w:hAnsi="Times New Roman" w:cs="Times New Roman"/>
          <w:sz w:val="24"/>
          <w:szCs w:val="24"/>
        </w:rPr>
        <w:t xml:space="preserve">подтверждает,   </w:t>
      </w:r>
      <w:proofErr w:type="gramEnd"/>
      <w:r w:rsidRPr="00E046C5">
        <w:rPr>
          <w:rFonts w:ascii="Times New Roman" w:hAnsi="Times New Roman" w:cs="Times New Roman"/>
          <w:sz w:val="24"/>
          <w:szCs w:val="24"/>
        </w:rPr>
        <w:t>что   для   участия   в   конкурсе  на  выполнение работ по</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 и реквизиты документа,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осуществлять</w:t>
      </w:r>
      <w:proofErr w:type="gramEnd"/>
      <w:r w:rsidRPr="00E046C5">
        <w:rPr>
          <w:rFonts w:ascii="Times New Roman" w:hAnsi="Times New Roman" w:cs="Times New Roman"/>
          <w:sz w:val="24"/>
          <w:szCs w:val="24"/>
        </w:rPr>
        <w:t xml:space="preserve"> все необходимые действия, в том числе  подписывать  заявку  на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на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roofErr w:type="gramStart"/>
      <w:r w:rsidRPr="00E046C5">
        <w:rPr>
          <w:rFonts w:ascii="Times New Roman" w:hAnsi="Times New Roman" w:cs="Times New Roman"/>
          <w:sz w:val="24"/>
          <w:szCs w:val="24"/>
        </w:rPr>
        <w:t>высшее</w:t>
      </w:r>
      <w:proofErr w:type="gramEnd"/>
      <w:r w:rsidRPr="00E046C5">
        <w:rPr>
          <w:rFonts w:ascii="Times New Roman" w:hAnsi="Times New Roman" w:cs="Times New Roman"/>
          <w:sz w:val="24"/>
          <w:szCs w:val="24"/>
        </w:rPr>
        <w:t xml:space="preserve"> специальное образование в строительной</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E046C5">
        <w:rPr>
          <w:rFonts w:ascii="Times New Roman" w:hAnsi="Times New Roman" w:cs="Times New Roman"/>
          <w:sz w:val="24"/>
          <w:szCs w:val="24"/>
        </w:rPr>
        <w:t>по</w:t>
      </w:r>
      <w:proofErr w:type="gramEnd"/>
      <w:r w:rsidRPr="00E046C5">
        <w:rPr>
          <w:rFonts w:ascii="Times New Roman" w:hAnsi="Times New Roman" w:cs="Times New Roman"/>
          <w:sz w:val="24"/>
          <w:szCs w:val="24"/>
        </w:rPr>
        <w:t xml:space="preserve"> проведению открытого конкурса на</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E046C5">
        <w:rPr>
          <w:rFonts w:ascii="Times New Roman" w:hAnsi="Times New Roman" w:cs="Times New Roman"/>
          <w:sz w:val="24"/>
          <w:szCs w:val="24"/>
        </w:rPr>
        <w:t>выполнение</w:t>
      </w:r>
      <w:proofErr w:type="gramEnd"/>
      <w:r w:rsidRPr="00E046C5">
        <w:rPr>
          <w:rFonts w:ascii="Times New Roman" w:hAnsi="Times New Roman" w:cs="Times New Roman"/>
          <w:sz w:val="24"/>
          <w:szCs w:val="24"/>
        </w:rPr>
        <w:t xml:space="preserve"> работ по капитальному</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с даты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703CFB">
        <w:rPr>
          <w:rFonts w:ascii="Times New Roman" w:hAnsi="Times New Roman" w:cs="Times New Roman"/>
          <w:sz w:val="24"/>
          <w:szCs w:val="24"/>
        </w:rPr>
        <w:t>____________________________________</w:t>
      </w:r>
      <w:r w:rsidR="00BC5173">
        <w:rPr>
          <w:rFonts w:ascii="Times New Roman" w:hAnsi="Times New Roman" w:cs="Times New Roman"/>
          <w:sz w:val="24"/>
          <w:szCs w:val="24"/>
        </w:rPr>
        <w:t xml:space="preserve">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-дневный срок с даты подписания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-дневный срок с даты подписания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 Принять от Заказчика по акту объект в срок,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w:t>
      </w:r>
      <w:proofErr w:type="gramEnd"/>
      <w:r w:rsidRPr="00E046C5">
        <w:rPr>
          <w:rFonts w:ascii="Times New Roman" w:hAnsi="Times New Roman" w:cs="Times New Roman"/>
          <w:sz w:val="24"/>
          <w:szCs w:val="24"/>
        </w:rPr>
        <w:t>, Ф.И.О., документ, подтверждающий полномочия,</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7.4.2. Принятие своевременных мер и контроль за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9.3. При обнаружении дефектов Заказчик должен письменно известить об этом Подрядчика. 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13.1.1. Если в течение 10 дней с даты подписания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60CDB"/>
    <w:rsid w:val="00054507"/>
    <w:rsid w:val="00350796"/>
    <w:rsid w:val="00703CFB"/>
    <w:rsid w:val="00A60CDB"/>
    <w:rsid w:val="00BB3761"/>
    <w:rsid w:val="00BC5173"/>
    <w:rsid w:val="00CE5E11"/>
    <w:rsid w:val="00D77CAC"/>
    <w:rsid w:val="00DB1E10"/>
    <w:rsid w:val="00E0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D91E5-120F-4BC9-AF5E-44330AE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9362</Words>
  <Characters>53366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Александра Гончарова</cp:lastModifiedBy>
  <cp:revision>7</cp:revision>
  <dcterms:created xsi:type="dcterms:W3CDTF">2012-04-09T10:33:00Z</dcterms:created>
  <dcterms:modified xsi:type="dcterms:W3CDTF">2013-06-27T05:03:00Z</dcterms:modified>
</cp:coreProperties>
</file>